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386F6" w14:textId="3045502F" w:rsidR="00783EBB" w:rsidRDefault="00783EBB" w:rsidP="00783EBB">
      <w:r>
        <w:t>Large Group Teaching</w:t>
      </w:r>
      <w:r w:rsidR="00070FD9">
        <w:t xml:space="preserve"> </w:t>
      </w:r>
      <w:r w:rsidR="005602DF">
        <w:t>Instructor guide</w:t>
      </w:r>
      <w:r>
        <w:t>:</w:t>
      </w:r>
    </w:p>
    <w:p w14:paraId="6E21FAAE" w14:textId="3042FB84" w:rsidR="00972503" w:rsidRDefault="00972503" w:rsidP="00783EBB">
      <w:proofErr w:type="gramStart"/>
      <w:r>
        <w:t>30-60 minute</w:t>
      </w:r>
      <w:proofErr w:type="gramEnd"/>
      <w:r>
        <w:t xml:space="preserve"> session, consider small group/workshop format, review topic and have residents storyboard a lecture they have to give, review and give feedback</w:t>
      </w:r>
    </w:p>
    <w:p w14:paraId="2856BC21" w14:textId="0C1883CC" w:rsidR="00783EBB" w:rsidRDefault="00783EBB" w:rsidP="00783EBB"/>
    <w:p w14:paraId="369EF5AA" w14:textId="6504739B" w:rsidR="00783EBB" w:rsidRDefault="00783EBB" w:rsidP="00070FD9">
      <w:pPr>
        <w:pStyle w:val="ListParagraph"/>
        <w:numPr>
          <w:ilvl w:val="0"/>
          <w:numId w:val="2"/>
        </w:numPr>
        <w:rPr>
          <w:b/>
          <w:bCs/>
        </w:rPr>
      </w:pPr>
      <w:r w:rsidRPr="003C3E12">
        <w:rPr>
          <w:b/>
          <w:bCs/>
        </w:rPr>
        <w:t>How to engage a large audience</w:t>
      </w:r>
      <w:r w:rsidR="00070FD9">
        <w:rPr>
          <w:b/>
          <w:bCs/>
        </w:rPr>
        <w:t xml:space="preserve"> (for a famous example, see the Brindley lecture, “</w:t>
      </w:r>
      <w:r w:rsidR="00070FD9" w:rsidRPr="00A060AF">
        <w:rPr>
          <w:b/>
          <w:bCs/>
        </w:rPr>
        <w:t xml:space="preserve">How (not) to communicate new scientific information: a memoir of the famous </w:t>
      </w:r>
      <w:proofErr w:type="spellStart"/>
      <w:r w:rsidR="00070FD9" w:rsidRPr="00A060AF">
        <w:rPr>
          <w:b/>
          <w:bCs/>
        </w:rPr>
        <w:t>brindley</w:t>
      </w:r>
      <w:proofErr w:type="spellEnd"/>
      <w:r w:rsidR="00070FD9" w:rsidRPr="00A060AF">
        <w:rPr>
          <w:b/>
          <w:bCs/>
        </w:rPr>
        <w:t xml:space="preserve"> lecture</w:t>
      </w:r>
      <w:r w:rsidR="00070FD9">
        <w:rPr>
          <w:b/>
          <w:bCs/>
        </w:rPr>
        <w:t>” Klotz, Lawrence)</w:t>
      </w:r>
    </w:p>
    <w:p w14:paraId="11BEF9B7" w14:textId="77777777" w:rsidR="00070FD9" w:rsidRPr="00070FD9" w:rsidRDefault="00070FD9" w:rsidP="00070FD9">
      <w:pPr>
        <w:ind w:left="720"/>
        <w:rPr>
          <w:b/>
          <w:bCs/>
        </w:rPr>
      </w:pPr>
    </w:p>
    <w:p w14:paraId="3DF193F3" w14:textId="77777777" w:rsidR="002116E7" w:rsidRDefault="002116E7" w:rsidP="002116E7">
      <w:pPr>
        <w:ind w:left="720" w:firstLine="720"/>
      </w:pPr>
      <w:r>
        <w:t>Prepare:</w:t>
      </w:r>
    </w:p>
    <w:p w14:paraId="742E7BFC" w14:textId="547F0DFF" w:rsidR="002116E7" w:rsidRDefault="002116E7" w:rsidP="002116E7">
      <w:pPr>
        <w:ind w:left="1440" w:firstLine="720"/>
      </w:pPr>
      <w:r>
        <w:t xml:space="preserve">Who is your </w:t>
      </w:r>
      <w:proofErr w:type="gramStart"/>
      <w:r>
        <w:t>audience</w:t>
      </w:r>
      <w:proofErr w:type="gramEnd"/>
    </w:p>
    <w:p w14:paraId="2948C6A1" w14:textId="3D3E6015" w:rsidR="002116E7" w:rsidRDefault="002116E7" w:rsidP="002116E7">
      <w:pPr>
        <w:ind w:left="1440" w:firstLine="720"/>
      </w:pPr>
      <w:r>
        <w:t xml:space="preserve">What is the purpose of the </w:t>
      </w:r>
      <w:proofErr w:type="gramStart"/>
      <w:r>
        <w:t>talk</w:t>
      </w:r>
      <w:proofErr w:type="gramEnd"/>
    </w:p>
    <w:p w14:paraId="1CF8E5EA" w14:textId="10E2B6EC" w:rsidR="002116E7" w:rsidRDefault="002116E7" w:rsidP="002116E7">
      <w:pPr>
        <w:ind w:left="1440" w:firstLine="720"/>
      </w:pPr>
      <w:r>
        <w:t xml:space="preserve">Why are YOU giving it (as opposed to </w:t>
      </w:r>
      <w:proofErr w:type="gramStart"/>
      <w:r>
        <w:t>someone else)</w:t>
      </w:r>
      <w:proofErr w:type="gramEnd"/>
    </w:p>
    <w:p w14:paraId="64902F48" w14:textId="1972CE98" w:rsidR="002116E7" w:rsidRDefault="002116E7" w:rsidP="002116E7">
      <w:pPr>
        <w:ind w:left="1440" w:firstLine="720"/>
      </w:pPr>
      <w:r>
        <w:t>Where are you presenting (venue</w:t>
      </w:r>
      <w:proofErr w:type="gramStart"/>
      <w:r>
        <w:t>)</w:t>
      </w:r>
      <w:proofErr w:type="gramEnd"/>
    </w:p>
    <w:p w14:paraId="0ADB2E41" w14:textId="2E8A50AF" w:rsidR="002116E7" w:rsidRDefault="002116E7" w:rsidP="002116E7">
      <w:pPr>
        <w:ind w:left="1440" w:firstLine="720"/>
      </w:pPr>
      <w:r>
        <w:t>When are you presenting (time of day, before/after meal</w:t>
      </w:r>
      <w:proofErr w:type="gramStart"/>
      <w:r>
        <w:t>)</w:t>
      </w:r>
      <w:proofErr w:type="gramEnd"/>
    </w:p>
    <w:p w14:paraId="3EEF8849" w14:textId="77777777" w:rsidR="002116E7" w:rsidRDefault="002116E7" w:rsidP="002116E7"/>
    <w:p w14:paraId="54F1D927" w14:textId="413FAF80" w:rsidR="002116E7" w:rsidRDefault="002116E7" w:rsidP="002116E7">
      <w:pPr>
        <w:ind w:left="720" w:firstLine="720"/>
      </w:pPr>
      <w:r w:rsidRPr="00C469C9">
        <w:t>The beginning: start with a question, story, quotation, startling statistic, joke</w:t>
      </w:r>
    </w:p>
    <w:p w14:paraId="1317D3CB" w14:textId="77777777" w:rsidR="002116E7" w:rsidRDefault="002116E7" w:rsidP="00783EBB"/>
    <w:p w14:paraId="15D0ACF0" w14:textId="11AF7493" w:rsidR="003C3E12" w:rsidRDefault="003C3E12" w:rsidP="002116E7">
      <w:pPr>
        <w:ind w:left="720" w:firstLine="720"/>
      </w:pPr>
      <w:r>
        <w:t>Practice/Rehearse your speech</w:t>
      </w:r>
    </w:p>
    <w:p w14:paraId="5BC7A3BC" w14:textId="67D7BD9E" w:rsidR="003C3E12" w:rsidRDefault="003C3E12" w:rsidP="00783EBB">
      <w:r>
        <w:tab/>
      </w:r>
      <w:r>
        <w:tab/>
      </w:r>
      <w:r w:rsidR="00FB60F9">
        <w:tab/>
      </w:r>
      <w:r>
        <w:t>Tell a story</w:t>
      </w:r>
    </w:p>
    <w:p w14:paraId="469AC4C2" w14:textId="3D9C6508" w:rsidR="003C3E12" w:rsidRDefault="003C3E12" w:rsidP="00783EBB">
      <w:r>
        <w:tab/>
      </w:r>
      <w:r>
        <w:tab/>
      </w:r>
      <w:r w:rsidR="00FB60F9">
        <w:tab/>
      </w:r>
      <w:r>
        <w:t>Keep it simple</w:t>
      </w:r>
    </w:p>
    <w:p w14:paraId="5E9B51FA" w14:textId="0DF45393" w:rsidR="003C3E12" w:rsidRDefault="003C3E12" w:rsidP="00783EBB">
      <w:r>
        <w:tab/>
      </w:r>
      <w:r>
        <w:tab/>
      </w:r>
      <w:r w:rsidR="00FB60F9">
        <w:tab/>
      </w:r>
      <w:r>
        <w:t>Know your transitions</w:t>
      </w:r>
    </w:p>
    <w:p w14:paraId="21EDF794" w14:textId="77777777" w:rsidR="002116E7" w:rsidRDefault="00FB60F9" w:rsidP="00783EBB">
      <w:r>
        <w:tab/>
      </w:r>
      <w:r>
        <w:tab/>
      </w:r>
    </w:p>
    <w:p w14:paraId="6C99F1E7" w14:textId="484F3696" w:rsidR="00C469C9" w:rsidRDefault="002116E7" w:rsidP="002116E7">
      <w:pPr>
        <w:ind w:left="720" w:firstLine="720"/>
      </w:pPr>
      <w:r w:rsidRPr="002116E7">
        <w:t>Try storyboarding, using cue-cards, or recording yourself and listening back.</w:t>
      </w:r>
    </w:p>
    <w:p w14:paraId="21C61CE5" w14:textId="77777777" w:rsidR="002116E7" w:rsidRDefault="002116E7" w:rsidP="00C469C9">
      <w:pPr>
        <w:ind w:left="720" w:firstLine="720"/>
      </w:pPr>
    </w:p>
    <w:p w14:paraId="2325E6D9" w14:textId="566953F1" w:rsidR="00FB60F9" w:rsidRDefault="00FB60F9" w:rsidP="00C469C9">
      <w:pPr>
        <w:ind w:left="720" w:firstLine="720"/>
      </w:pPr>
      <w:r>
        <w:t>Three key pedagogical principles in presentation skills:</w:t>
      </w:r>
    </w:p>
    <w:p w14:paraId="28377E47" w14:textId="680E6F7F" w:rsidR="00FB60F9" w:rsidRPr="00BD675B" w:rsidRDefault="00FB60F9" w:rsidP="00BD675B">
      <w:pPr>
        <w:pStyle w:val="ListParagraph"/>
        <w:numPr>
          <w:ilvl w:val="0"/>
          <w:numId w:val="9"/>
        </w:numPr>
        <w:rPr>
          <w:i/>
          <w:iCs/>
        </w:rPr>
      </w:pPr>
      <w:r w:rsidRPr="00FB60F9">
        <w:t xml:space="preserve">People </w:t>
      </w:r>
      <w:r w:rsidRPr="00BD675B">
        <w:rPr>
          <w:b/>
          <w:bCs/>
        </w:rPr>
        <w:t>cannot</w:t>
      </w:r>
      <w:r w:rsidRPr="00FB60F9">
        <w:t xml:space="preserve"> listen and think at the same time</w:t>
      </w:r>
      <w:r w:rsidRPr="00BD675B">
        <w:rPr>
          <w:i/>
          <w:iCs/>
        </w:rPr>
        <w:t xml:space="preserve"> </w:t>
      </w:r>
    </w:p>
    <w:p w14:paraId="0ADE0778" w14:textId="53E56E37" w:rsidR="00FB60F9" w:rsidRDefault="00FB60F9" w:rsidP="00BD675B">
      <w:pPr>
        <w:pStyle w:val="ListParagraph"/>
        <w:numPr>
          <w:ilvl w:val="1"/>
          <w:numId w:val="9"/>
        </w:numPr>
      </w:pPr>
      <w:r>
        <w:t>After making an important statement, p</w:t>
      </w:r>
      <w:r w:rsidRPr="00FB60F9">
        <w:t>ause for 2 or 3 seconds</w:t>
      </w:r>
      <w:r>
        <w:t>, to allow listeners to absorb what you said.</w:t>
      </w:r>
    </w:p>
    <w:p w14:paraId="29CFC6BF" w14:textId="1FAE05F6" w:rsidR="00BD675B" w:rsidRDefault="00BD675B" w:rsidP="00BD675B">
      <w:pPr>
        <w:pStyle w:val="ListParagraph"/>
        <w:numPr>
          <w:ilvl w:val="0"/>
          <w:numId w:val="9"/>
        </w:numPr>
      </w:pPr>
      <w:r>
        <w:t xml:space="preserve">People </w:t>
      </w:r>
      <w:r>
        <w:rPr>
          <w:b/>
          <w:bCs/>
        </w:rPr>
        <w:t>cannot</w:t>
      </w:r>
      <w:r>
        <w:t xml:space="preserve"> listen and read at the same time, and </w:t>
      </w:r>
      <w:r>
        <w:rPr>
          <w:b/>
          <w:bCs/>
        </w:rPr>
        <w:t>reading</w:t>
      </w:r>
      <w:r>
        <w:t xml:space="preserve"> is the default</w:t>
      </w:r>
    </w:p>
    <w:p w14:paraId="7227618A" w14:textId="2CA49527" w:rsidR="00BD675B" w:rsidRPr="00FB60F9" w:rsidRDefault="00BD675B" w:rsidP="00BD675B">
      <w:pPr>
        <w:pStyle w:val="ListParagraph"/>
        <w:numPr>
          <w:ilvl w:val="1"/>
          <w:numId w:val="9"/>
        </w:numPr>
      </w:pPr>
      <w:r>
        <w:t>Avoid busy slides that require reading, your audience will tend to read, rather than listen to what you are saying</w:t>
      </w:r>
    </w:p>
    <w:p w14:paraId="6A0CA1AC" w14:textId="77777777" w:rsidR="00BD675B" w:rsidRDefault="00FB60F9" w:rsidP="00BD675B">
      <w:pPr>
        <w:pStyle w:val="ListParagraph"/>
        <w:numPr>
          <w:ilvl w:val="0"/>
          <w:numId w:val="9"/>
        </w:numPr>
      </w:pPr>
      <w:r w:rsidRPr="00BD675B">
        <w:t>Less is more</w:t>
      </w:r>
      <w:r w:rsidR="00BD675B">
        <w:rPr>
          <w:i/>
          <w:iCs/>
        </w:rPr>
        <w:t xml:space="preserve"> </w:t>
      </w:r>
    </w:p>
    <w:p w14:paraId="60D27A6F" w14:textId="209CAF34" w:rsidR="00FB60F9" w:rsidRPr="00767E4F" w:rsidRDefault="00BD675B" w:rsidP="00783EBB">
      <w:pPr>
        <w:pStyle w:val="ListParagraph"/>
        <w:numPr>
          <w:ilvl w:val="1"/>
          <w:numId w:val="9"/>
        </w:numPr>
      </w:pPr>
      <w:r>
        <w:t>Don’t pack too much information into a presentation and overwhelm the audience (this is a common pitfall). Pick</w:t>
      </w:r>
      <w:r w:rsidR="00767E4F">
        <w:t xml:space="preserve"> 3-5 main points to make (hopefully you will inspire your audience to go learn more about the topic you presented)</w:t>
      </w:r>
    </w:p>
    <w:p w14:paraId="04E4B1ED" w14:textId="22F6B32D" w:rsidR="00783EBB" w:rsidRDefault="00783EBB" w:rsidP="00783EBB"/>
    <w:p w14:paraId="3E8F711D" w14:textId="6DCC615F" w:rsidR="006427B4" w:rsidRDefault="00DA5BF4" w:rsidP="006427B4">
      <w:pPr>
        <w:ind w:left="1440"/>
      </w:pPr>
      <w:r>
        <w:t>Consider ways to have audience interact</w:t>
      </w:r>
      <w:r w:rsidR="006427B4">
        <w:t xml:space="preserve"> with the presenter, the material and amongst each other. </w:t>
      </w:r>
    </w:p>
    <w:p w14:paraId="54C058F8" w14:textId="77777777" w:rsidR="006427B4" w:rsidRDefault="006427B4" w:rsidP="006427B4">
      <w:pPr>
        <w:ind w:left="1440"/>
      </w:pPr>
    </w:p>
    <w:p w14:paraId="2EEC0269" w14:textId="0F6CBF30" w:rsidR="00DA5BF4" w:rsidRPr="00DA5BF4" w:rsidRDefault="00DA5BF4" w:rsidP="002116E7">
      <w:pPr>
        <w:pStyle w:val="ListParagraph"/>
        <w:numPr>
          <w:ilvl w:val="0"/>
          <w:numId w:val="11"/>
        </w:numPr>
      </w:pPr>
      <w:r>
        <w:t xml:space="preserve">Interaction between </w:t>
      </w:r>
      <w:r w:rsidRPr="00DA5BF4">
        <w:t>presenter and audience</w:t>
      </w:r>
      <w:r w:rsidR="006427B4">
        <w:t>:</w:t>
      </w:r>
    </w:p>
    <w:p w14:paraId="61D9DEA8" w14:textId="77777777" w:rsidR="00DA5BF4" w:rsidRPr="00DA5BF4" w:rsidRDefault="00DA5BF4" w:rsidP="00DA5BF4">
      <w:pPr>
        <w:numPr>
          <w:ilvl w:val="0"/>
          <w:numId w:val="3"/>
        </w:numPr>
      </w:pPr>
      <w:r w:rsidRPr="00DA5BF4">
        <w:t>Direct questioning</w:t>
      </w:r>
    </w:p>
    <w:p w14:paraId="7E3FCE6F" w14:textId="77777777" w:rsidR="00DA5BF4" w:rsidRPr="00DA5BF4" w:rsidRDefault="00DA5BF4" w:rsidP="00DA5BF4">
      <w:pPr>
        <w:numPr>
          <w:ilvl w:val="0"/>
          <w:numId w:val="3"/>
        </w:numPr>
      </w:pPr>
      <w:r w:rsidRPr="00DA5BF4">
        <w:t>Brainstorming</w:t>
      </w:r>
    </w:p>
    <w:p w14:paraId="70DF7EBE" w14:textId="77777777" w:rsidR="00DA5BF4" w:rsidRPr="00DA5BF4" w:rsidRDefault="00DA5BF4" w:rsidP="00DA5BF4">
      <w:pPr>
        <w:numPr>
          <w:ilvl w:val="0"/>
          <w:numId w:val="3"/>
        </w:numPr>
      </w:pPr>
      <w:r w:rsidRPr="00DA5BF4">
        <w:lastRenderedPageBreak/>
        <w:t>Rhetorical questioning</w:t>
      </w:r>
    </w:p>
    <w:p w14:paraId="490E3A21" w14:textId="77777777" w:rsidR="00DA5BF4" w:rsidRPr="00DA5BF4" w:rsidRDefault="00DA5BF4" w:rsidP="00DA5BF4">
      <w:pPr>
        <w:numPr>
          <w:ilvl w:val="0"/>
          <w:numId w:val="3"/>
        </w:numPr>
      </w:pPr>
      <w:r w:rsidRPr="00DA5BF4">
        <w:t>Surveying the audience</w:t>
      </w:r>
    </w:p>
    <w:p w14:paraId="41D8EE9D" w14:textId="035F9C42" w:rsidR="00DA5BF4" w:rsidRDefault="00DA5BF4" w:rsidP="00DA5BF4">
      <w:pPr>
        <w:numPr>
          <w:ilvl w:val="0"/>
          <w:numId w:val="3"/>
        </w:numPr>
      </w:pPr>
      <w:r w:rsidRPr="00DA5BF4">
        <w:t>Audience response systems</w:t>
      </w:r>
    </w:p>
    <w:p w14:paraId="05FA48ED" w14:textId="77777777" w:rsidR="006427B4" w:rsidRDefault="006427B4" w:rsidP="006427B4">
      <w:pPr>
        <w:ind w:left="2520"/>
      </w:pPr>
    </w:p>
    <w:p w14:paraId="0C1113BE" w14:textId="29100129" w:rsidR="006427B4" w:rsidRPr="00DA5BF4" w:rsidRDefault="006427B4" w:rsidP="002116E7">
      <w:pPr>
        <w:pStyle w:val="ListParagraph"/>
        <w:numPr>
          <w:ilvl w:val="0"/>
          <w:numId w:val="11"/>
        </w:numPr>
      </w:pPr>
      <w:r w:rsidRPr="00DA5BF4">
        <w:t>Interactivity between audience and the material</w:t>
      </w:r>
    </w:p>
    <w:p w14:paraId="062F1FB7" w14:textId="77777777" w:rsidR="006427B4" w:rsidRPr="00DA5BF4" w:rsidRDefault="006427B4" w:rsidP="006427B4">
      <w:pPr>
        <w:numPr>
          <w:ilvl w:val="0"/>
          <w:numId w:val="3"/>
        </w:numPr>
      </w:pPr>
      <w:r w:rsidRPr="00DA5BF4">
        <w:t>Role playing/simulation</w:t>
      </w:r>
    </w:p>
    <w:p w14:paraId="58E07217" w14:textId="77777777" w:rsidR="006427B4" w:rsidRPr="00DA5BF4" w:rsidRDefault="006427B4" w:rsidP="006427B4">
      <w:pPr>
        <w:numPr>
          <w:ilvl w:val="0"/>
          <w:numId w:val="3"/>
        </w:numPr>
      </w:pPr>
      <w:r w:rsidRPr="00DA5BF4">
        <w:t>Use of patients</w:t>
      </w:r>
    </w:p>
    <w:p w14:paraId="3585C88E" w14:textId="77777777" w:rsidR="006427B4" w:rsidRPr="00DA5BF4" w:rsidRDefault="006427B4" w:rsidP="006427B4">
      <w:pPr>
        <w:numPr>
          <w:ilvl w:val="0"/>
          <w:numId w:val="3"/>
        </w:numPr>
      </w:pPr>
      <w:r w:rsidRPr="00DA5BF4">
        <w:t>Case presentations</w:t>
      </w:r>
    </w:p>
    <w:p w14:paraId="686BAE26" w14:textId="77777777" w:rsidR="006427B4" w:rsidRPr="00DA5BF4" w:rsidRDefault="006427B4" w:rsidP="006427B4">
      <w:pPr>
        <w:numPr>
          <w:ilvl w:val="0"/>
          <w:numId w:val="3"/>
        </w:numPr>
      </w:pPr>
      <w:r w:rsidRPr="00DA5BF4">
        <w:t>Storytelling</w:t>
      </w:r>
    </w:p>
    <w:p w14:paraId="0604DB59" w14:textId="77777777" w:rsidR="006427B4" w:rsidRPr="00DA5BF4" w:rsidRDefault="006427B4" w:rsidP="006427B4">
      <w:pPr>
        <w:numPr>
          <w:ilvl w:val="0"/>
          <w:numId w:val="3"/>
        </w:numPr>
      </w:pPr>
      <w:r w:rsidRPr="00DA5BF4">
        <w:t>Videos</w:t>
      </w:r>
    </w:p>
    <w:p w14:paraId="20BCF509" w14:textId="77777777" w:rsidR="006427B4" w:rsidRPr="00DA5BF4" w:rsidRDefault="006427B4" w:rsidP="006427B4">
      <w:pPr>
        <w:ind w:left="2520"/>
      </w:pPr>
    </w:p>
    <w:p w14:paraId="3A46C2B8" w14:textId="20A3AFF4" w:rsidR="00DA5BF4" w:rsidRPr="00DA5BF4" w:rsidRDefault="00DA5BF4" w:rsidP="002116E7">
      <w:pPr>
        <w:pStyle w:val="ListParagraph"/>
        <w:numPr>
          <w:ilvl w:val="0"/>
          <w:numId w:val="11"/>
        </w:numPr>
      </w:pPr>
      <w:r w:rsidRPr="00DA5BF4">
        <w:t>Interactivity between audience and audience</w:t>
      </w:r>
    </w:p>
    <w:p w14:paraId="47A8E3D6" w14:textId="77777777" w:rsidR="00DA5BF4" w:rsidRPr="00DA5BF4" w:rsidRDefault="00DA5BF4" w:rsidP="00DA5BF4">
      <w:pPr>
        <w:numPr>
          <w:ilvl w:val="0"/>
          <w:numId w:val="4"/>
        </w:numPr>
      </w:pPr>
      <w:r w:rsidRPr="00DA5BF4">
        <w:t>Breaking up into smaller groups</w:t>
      </w:r>
    </w:p>
    <w:p w14:paraId="35395E29" w14:textId="77777777" w:rsidR="00DA5BF4" w:rsidRPr="00DA5BF4" w:rsidRDefault="00DA5BF4" w:rsidP="00DA5BF4">
      <w:pPr>
        <w:numPr>
          <w:ilvl w:val="0"/>
          <w:numId w:val="4"/>
        </w:numPr>
      </w:pPr>
      <w:r w:rsidRPr="00DA5BF4">
        <w:t>Think-Pair-Share</w:t>
      </w:r>
    </w:p>
    <w:p w14:paraId="74DE276E" w14:textId="77777777" w:rsidR="00DA5BF4" w:rsidRPr="00DA5BF4" w:rsidRDefault="00DA5BF4" w:rsidP="00DA5BF4">
      <w:pPr>
        <w:numPr>
          <w:ilvl w:val="0"/>
          <w:numId w:val="4"/>
        </w:numPr>
      </w:pPr>
      <w:r w:rsidRPr="00DA5BF4">
        <w:t>Buzz groups</w:t>
      </w:r>
    </w:p>
    <w:p w14:paraId="099B8D51" w14:textId="77777777" w:rsidR="00DA5BF4" w:rsidRPr="00DA5BF4" w:rsidRDefault="00DA5BF4" w:rsidP="00DA5BF4">
      <w:pPr>
        <w:numPr>
          <w:ilvl w:val="0"/>
          <w:numId w:val="4"/>
        </w:numPr>
      </w:pPr>
      <w:r w:rsidRPr="00DA5BF4">
        <w:t>Debates</w:t>
      </w:r>
    </w:p>
    <w:p w14:paraId="2F8914B3" w14:textId="77777777" w:rsidR="00DA5BF4" w:rsidRPr="00DA5BF4" w:rsidRDefault="00DA5BF4" w:rsidP="00DA5BF4">
      <w:pPr>
        <w:numPr>
          <w:ilvl w:val="0"/>
          <w:numId w:val="4"/>
        </w:numPr>
      </w:pPr>
      <w:r w:rsidRPr="00DA5BF4">
        <w:t>Panels</w:t>
      </w:r>
    </w:p>
    <w:p w14:paraId="4281FF6F" w14:textId="77777777" w:rsidR="00DA5BF4" w:rsidRPr="00DA5BF4" w:rsidRDefault="00DA5BF4" w:rsidP="00DA5BF4">
      <w:pPr>
        <w:numPr>
          <w:ilvl w:val="0"/>
          <w:numId w:val="5"/>
        </w:numPr>
      </w:pPr>
      <w:r w:rsidRPr="00DA5BF4">
        <w:t>Live interviews</w:t>
      </w:r>
    </w:p>
    <w:p w14:paraId="10311FC4" w14:textId="77777777" w:rsidR="00DA5BF4" w:rsidRPr="00DA5BF4" w:rsidRDefault="00DA5BF4" w:rsidP="00DA5BF4">
      <w:pPr>
        <w:numPr>
          <w:ilvl w:val="0"/>
          <w:numId w:val="5"/>
        </w:numPr>
      </w:pPr>
      <w:r w:rsidRPr="00DA5BF4">
        <w:t>Writing</w:t>
      </w:r>
    </w:p>
    <w:p w14:paraId="6D447D51" w14:textId="479C5EE5" w:rsidR="00DA5BF4" w:rsidRDefault="00DA5BF4" w:rsidP="006427B4">
      <w:pPr>
        <w:pStyle w:val="ListParagraph"/>
        <w:numPr>
          <w:ilvl w:val="0"/>
          <w:numId w:val="5"/>
        </w:numPr>
      </w:pPr>
      <w:r w:rsidRPr="00DB53DC">
        <w:t>Handouts</w:t>
      </w:r>
    </w:p>
    <w:p w14:paraId="1BFF75DA" w14:textId="77777777" w:rsidR="006427B4" w:rsidRDefault="00783EBB" w:rsidP="00783EBB">
      <w:r>
        <w:tab/>
      </w:r>
    </w:p>
    <w:p w14:paraId="6279DCA6" w14:textId="5CAEF97F" w:rsidR="00783EBB" w:rsidRDefault="00783EBB" w:rsidP="006427B4">
      <w:pPr>
        <w:ind w:firstLine="720"/>
        <w:rPr>
          <w:b/>
          <w:bCs/>
        </w:rPr>
      </w:pPr>
      <w:r w:rsidRPr="003C3E12">
        <w:rPr>
          <w:b/>
          <w:bCs/>
        </w:rPr>
        <w:t xml:space="preserve">2: </w:t>
      </w:r>
      <w:r w:rsidR="002116E7">
        <w:rPr>
          <w:b/>
          <w:bCs/>
        </w:rPr>
        <w:t>Body Language</w:t>
      </w:r>
    </w:p>
    <w:p w14:paraId="795C3285" w14:textId="4385FE56" w:rsidR="00C469C9" w:rsidRPr="00C469C9" w:rsidRDefault="00C469C9" w:rsidP="00C469C9">
      <w:pPr>
        <w:ind w:left="1440"/>
      </w:pPr>
      <w:r w:rsidRPr="00C469C9">
        <w:t xml:space="preserve">Albert </w:t>
      </w:r>
      <w:proofErr w:type="spellStart"/>
      <w:r w:rsidRPr="00C469C9">
        <w:t>Mohrabian</w:t>
      </w:r>
      <w:proofErr w:type="spellEnd"/>
      <w:r w:rsidRPr="00C469C9">
        <w:t>, PhD</w:t>
      </w:r>
      <w:r>
        <w:t xml:space="preserve">, </w:t>
      </w:r>
      <w:r w:rsidRPr="00C469C9">
        <w:t xml:space="preserve">published a study discussing what an audience will remember: verbal content (things said) 7%, voice (tonal quality—how it was said) 38%, </w:t>
      </w:r>
      <w:r w:rsidRPr="00C469C9">
        <w:rPr>
          <w:b/>
          <w:bCs/>
        </w:rPr>
        <w:t>Body language (presentation style of lecturer) 58%.</w:t>
      </w:r>
    </w:p>
    <w:p w14:paraId="708DD456" w14:textId="610B1D16" w:rsidR="00C469C9" w:rsidRPr="003C3E12" w:rsidRDefault="00C469C9" w:rsidP="00783EBB">
      <w:pPr>
        <w:rPr>
          <w:b/>
          <w:bCs/>
        </w:rPr>
      </w:pPr>
    </w:p>
    <w:p w14:paraId="1F2E5ADB" w14:textId="4AEBDD91" w:rsidR="00783EBB" w:rsidRDefault="00FB340C" w:rsidP="00783EBB">
      <w:r>
        <w:tab/>
      </w:r>
      <w:r>
        <w:tab/>
        <w:t>Way before your presentation (rehearse your movements)</w:t>
      </w:r>
    </w:p>
    <w:p w14:paraId="324E4EF6" w14:textId="153C8716" w:rsidR="00D7244C" w:rsidRDefault="00C469C9" w:rsidP="008B4245">
      <w:pPr>
        <w:ind w:left="2160"/>
      </w:pPr>
      <w:r>
        <w:t>Speakers generate a great amount of emotion and interest with non-verbal communication, a s</w:t>
      </w:r>
      <w:r w:rsidRPr="00C469C9">
        <w:t>peake</w:t>
      </w:r>
      <w:r>
        <w:t xml:space="preserve">r can use their body as a tool </w:t>
      </w:r>
      <w:r w:rsidRPr="00C469C9">
        <w:t>for emphasizing and clarifying the words they use, while reinforcing their sincerity and enthusiasm.</w:t>
      </w:r>
    </w:p>
    <w:p w14:paraId="4E1715C8" w14:textId="66AB7BBC" w:rsidR="008B4245" w:rsidRDefault="008B4245" w:rsidP="008B4245">
      <w:pPr>
        <w:ind w:left="2160"/>
      </w:pPr>
      <w:r>
        <w:tab/>
      </w:r>
    </w:p>
    <w:p w14:paraId="67318EE5" w14:textId="63433133" w:rsidR="00FB340C" w:rsidRDefault="00FB340C" w:rsidP="00783EBB">
      <w:r>
        <w:tab/>
      </w:r>
      <w:r>
        <w:tab/>
        <w:t>Just before your presentation – settle nerves:</w:t>
      </w:r>
    </w:p>
    <w:p w14:paraId="5645B244" w14:textId="388182C1" w:rsidR="003C3E12" w:rsidRPr="003C3E12" w:rsidRDefault="003C3E12" w:rsidP="00FB340C">
      <w:pPr>
        <w:ind w:left="2160"/>
      </w:pPr>
      <w:r w:rsidRPr="003C3E12">
        <w:rPr>
          <w:b/>
          <w:bCs/>
          <w:i/>
          <w:iCs/>
        </w:rPr>
        <w:t>Power posing</w:t>
      </w:r>
      <w:r w:rsidRPr="003C3E12">
        <w:t> – spend two whole minutes just prior to your presentation standing in a powerful pose that exudes confidence. This has been shown in studies to help relieve performance anxiety, and even improve performance in job interviews.</w:t>
      </w:r>
    </w:p>
    <w:p w14:paraId="4AD4BF1B" w14:textId="429B9983" w:rsidR="003C3E12" w:rsidRPr="003C3E12" w:rsidRDefault="003C3E12" w:rsidP="00FB340C">
      <w:pPr>
        <w:ind w:left="2160"/>
      </w:pPr>
      <w:r w:rsidRPr="003C3E12">
        <w:rPr>
          <w:b/>
          <w:bCs/>
          <w:i/>
          <w:iCs/>
        </w:rPr>
        <w:t>Visualization</w:t>
      </w:r>
      <w:r w:rsidRPr="003C3E12">
        <w:t> – visualize yourself in front of the audience on the stage giving the talk, saying the words that you will say and doing a great job at it.</w:t>
      </w:r>
    </w:p>
    <w:p w14:paraId="5EB457EE" w14:textId="77777777" w:rsidR="003C3E12" w:rsidRPr="003C3E12" w:rsidRDefault="003C3E12" w:rsidP="00FB340C">
      <w:pPr>
        <w:ind w:left="2160"/>
      </w:pPr>
      <w:r w:rsidRPr="003C3E12">
        <w:rPr>
          <w:b/>
          <w:bCs/>
          <w:i/>
          <w:iCs/>
        </w:rPr>
        <w:t>Meditation</w:t>
      </w:r>
      <w:r w:rsidRPr="003C3E12">
        <w:t> – spend five minutes doing deep breathing exercises and/or guided imagery before your presentation</w:t>
      </w:r>
    </w:p>
    <w:p w14:paraId="05C39952" w14:textId="3AD675EF" w:rsidR="003C3E12" w:rsidRDefault="00D7244C" w:rsidP="00783EBB">
      <w:r>
        <w:tab/>
      </w:r>
      <w:r>
        <w:tab/>
      </w:r>
    </w:p>
    <w:p w14:paraId="78E960CD" w14:textId="1FEF2008" w:rsidR="00D7244C" w:rsidRDefault="00D7244C" w:rsidP="00783EBB">
      <w:r>
        <w:tab/>
      </w:r>
      <w:r>
        <w:tab/>
        <w:t>During the presentation:</w:t>
      </w:r>
    </w:p>
    <w:p w14:paraId="0845C845" w14:textId="7B99E964" w:rsidR="003C3E12" w:rsidRPr="005E12A7" w:rsidRDefault="003C3E12" w:rsidP="003C3E1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5E12A7">
        <w:rPr>
          <w:rFonts w:eastAsia="Times New Roman" w:cstheme="minorHAnsi"/>
          <w:b/>
          <w:bCs/>
          <w:color w:val="1D252C"/>
        </w:rPr>
        <w:lastRenderedPageBreak/>
        <w:t>Eye cont</w:t>
      </w:r>
      <w:r w:rsidR="00D7244C">
        <w:rPr>
          <w:rFonts w:eastAsia="Times New Roman" w:cstheme="minorHAnsi"/>
          <w:b/>
          <w:bCs/>
          <w:color w:val="1D252C"/>
        </w:rPr>
        <w:t>a</w:t>
      </w:r>
      <w:r w:rsidRPr="005E12A7">
        <w:rPr>
          <w:rFonts w:eastAsia="Times New Roman" w:cstheme="minorHAnsi"/>
          <w:b/>
          <w:bCs/>
          <w:color w:val="1D252C"/>
        </w:rPr>
        <w:t>ct </w:t>
      </w:r>
      <w:r w:rsidRPr="005E12A7">
        <w:rPr>
          <w:rFonts w:eastAsia="Times New Roman" w:cstheme="minorHAnsi"/>
          <w:color w:val="1D252C"/>
        </w:rPr>
        <w:t>establishes an immediate bond with an audience, especially when a speaker focuses in on individual listeners rather than just gazing over the audience as a whole.</w:t>
      </w:r>
    </w:p>
    <w:p w14:paraId="7820C3D9" w14:textId="77777777" w:rsidR="003C3E12" w:rsidRPr="005E12A7" w:rsidRDefault="003C3E12" w:rsidP="003C3E1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5E12A7">
        <w:rPr>
          <w:rFonts w:eastAsia="Times New Roman" w:cstheme="minorHAnsi"/>
          <w:b/>
          <w:bCs/>
          <w:color w:val="1D252C"/>
        </w:rPr>
        <w:t>Control mannerisms. </w:t>
      </w:r>
      <w:r w:rsidRPr="005E12A7">
        <w:rPr>
          <w:rFonts w:eastAsia="Times New Roman" w:cstheme="minorHAnsi"/>
          <w:color w:val="1D252C"/>
        </w:rPr>
        <w:t>Mannerisms are</w:t>
      </w:r>
      <w:r w:rsidRPr="005E12A7">
        <w:rPr>
          <w:rFonts w:eastAsia="Times New Roman" w:cstheme="minorHAnsi"/>
          <w:b/>
          <w:bCs/>
          <w:color w:val="1D252C"/>
        </w:rPr>
        <w:t> </w:t>
      </w:r>
      <w:r w:rsidRPr="005E12A7">
        <w:rPr>
          <w:rFonts w:eastAsia="Times New Roman" w:cstheme="minorHAnsi"/>
          <w:color w:val="1D252C"/>
        </w:rPr>
        <w:t>the</w:t>
      </w:r>
      <w:r w:rsidRPr="005E12A7">
        <w:rPr>
          <w:rFonts w:eastAsia="Times New Roman" w:cstheme="minorHAnsi"/>
          <w:b/>
          <w:bCs/>
          <w:color w:val="1D252C"/>
        </w:rPr>
        <w:t> </w:t>
      </w:r>
      <w:r w:rsidRPr="005E12A7">
        <w:rPr>
          <w:rFonts w:eastAsia="Times New Roman" w:cstheme="minorHAnsi"/>
          <w:color w:val="1D252C"/>
        </w:rPr>
        <w:t>nervous expressions a speaker might not be aware of such as putting their hands in their pockets, nodding their head excessively, or using filler words like </w:t>
      </w:r>
      <w:r w:rsidRPr="005E12A7">
        <w:rPr>
          <w:rFonts w:eastAsia="Times New Roman" w:cstheme="minorHAnsi"/>
          <w:i/>
          <w:iCs/>
          <w:color w:val="1D252C"/>
        </w:rPr>
        <w:t>um</w:t>
      </w:r>
      <w:r w:rsidRPr="005E12A7">
        <w:rPr>
          <w:rFonts w:eastAsia="Times New Roman" w:cstheme="minorHAnsi"/>
          <w:color w:val="1D252C"/>
        </w:rPr>
        <w:t> and </w:t>
      </w:r>
      <w:r w:rsidRPr="005E12A7">
        <w:rPr>
          <w:rFonts w:eastAsia="Times New Roman" w:cstheme="minorHAnsi"/>
          <w:i/>
          <w:iCs/>
          <w:color w:val="1D252C"/>
        </w:rPr>
        <w:t>ah</w:t>
      </w:r>
      <w:r w:rsidRPr="005E12A7">
        <w:rPr>
          <w:rFonts w:eastAsia="Times New Roman" w:cstheme="minorHAnsi"/>
          <w:color w:val="1D252C"/>
        </w:rPr>
        <w:t> too often. </w:t>
      </w:r>
    </w:p>
    <w:p w14:paraId="1C06524C" w14:textId="7E24BE54" w:rsidR="003C3E12" w:rsidRDefault="003C3E12" w:rsidP="003C3E1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5E12A7">
        <w:rPr>
          <w:rFonts w:eastAsia="Times New Roman" w:cstheme="minorHAnsi"/>
          <w:b/>
          <w:bCs/>
          <w:color w:val="1D252C"/>
        </w:rPr>
        <w:t>Put verbs into action</w:t>
      </w:r>
      <w:r w:rsidRPr="005E12A7">
        <w:rPr>
          <w:rFonts w:eastAsia="Times New Roman" w:cstheme="minorHAnsi"/>
          <w:color w:val="1D252C"/>
        </w:rPr>
        <w:t> when speaking to an audience by physically acting them out with the hands, face or entire body.</w:t>
      </w:r>
    </w:p>
    <w:p w14:paraId="62A6997F" w14:textId="768EE37D" w:rsidR="00D7244C" w:rsidRPr="00D7244C" w:rsidRDefault="00D7244C" w:rsidP="00D7244C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>
        <w:rPr>
          <w:rFonts w:eastAsia="Times New Roman" w:cstheme="minorHAnsi"/>
          <w:b/>
          <w:bCs/>
          <w:color w:val="1D252C"/>
        </w:rPr>
        <w:t>Gestures:</w:t>
      </w:r>
    </w:p>
    <w:p w14:paraId="62BA3622" w14:textId="12C09ABD" w:rsidR="00D7244C" w:rsidRPr="00D7244C" w:rsidRDefault="00D7244C" w:rsidP="00D7244C">
      <w:pPr>
        <w:numPr>
          <w:ilvl w:val="2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D7244C">
        <w:rPr>
          <w:rFonts w:eastAsia="Times New Roman" w:cstheme="minorHAnsi"/>
          <w:color w:val="1D252C"/>
        </w:rPr>
        <w:t>Descriptive</w:t>
      </w:r>
    </w:p>
    <w:p w14:paraId="01FCF272" w14:textId="16963608" w:rsidR="00D7244C" w:rsidRPr="00D7244C" w:rsidRDefault="00D7244C" w:rsidP="00D7244C">
      <w:pPr>
        <w:numPr>
          <w:ilvl w:val="2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D7244C">
        <w:rPr>
          <w:rFonts w:eastAsia="Times New Roman" w:cstheme="minorHAnsi"/>
          <w:color w:val="1D252C"/>
        </w:rPr>
        <w:t>Emphatic</w:t>
      </w:r>
    </w:p>
    <w:p w14:paraId="1BA384C2" w14:textId="5E68917A" w:rsidR="00D7244C" w:rsidRPr="00D7244C" w:rsidRDefault="00D7244C" w:rsidP="00D7244C">
      <w:pPr>
        <w:numPr>
          <w:ilvl w:val="2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D7244C">
        <w:rPr>
          <w:rFonts w:eastAsia="Times New Roman" w:cstheme="minorHAnsi"/>
          <w:color w:val="1D252C"/>
        </w:rPr>
        <w:t>Suggestive</w:t>
      </w:r>
    </w:p>
    <w:p w14:paraId="6CA1DDFE" w14:textId="4BF9CB43" w:rsidR="00D7244C" w:rsidRPr="005E12A7" w:rsidRDefault="00D7244C" w:rsidP="00D7244C">
      <w:pPr>
        <w:numPr>
          <w:ilvl w:val="2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D7244C">
        <w:rPr>
          <w:rFonts w:eastAsia="Times New Roman" w:cstheme="minorHAnsi"/>
          <w:color w:val="1D252C"/>
        </w:rPr>
        <w:t>Prompting</w:t>
      </w:r>
    </w:p>
    <w:p w14:paraId="398FE7D4" w14:textId="77777777" w:rsidR="003C3E12" w:rsidRPr="005E12A7" w:rsidRDefault="003C3E12" w:rsidP="003C3E1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5E12A7">
        <w:rPr>
          <w:rFonts w:eastAsia="Times New Roman" w:cstheme="minorHAnsi"/>
          <w:b/>
          <w:bCs/>
          <w:color w:val="1D252C"/>
        </w:rPr>
        <w:t>Avoid insincere gestures</w:t>
      </w:r>
      <w:r w:rsidRPr="005E12A7">
        <w:rPr>
          <w:rFonts w:eastAsia="Times New Roman" w:cstheme="minorHAnsi"/>
          <w:color w:val="1D252C"/>
        </w:rPr>
        <w:t> by involving the entire body as much as possible in the movement and matching facial expressions to it.</w:t>
      </w:r>
    </w:p>
    <w:p w14:paraId="3ECB784C" w14:textId="4D4BD3BB" w:rsidR="003C3E12" w:rsidRDefault="003C3E12" w:rsidP="00783EB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  <w:r w:rsidRPr="005E12A7">
        <w:rPr>
          <w:rFonts w:eastAsia="Times New Roman" w:cstheme="minorHAnsi"/>
          <w:b/>
          <w:bCs/>
          <w:color w:val="1D252C"/>
        </w:rPr>
        <w:t>Move around the stage </w:t>
      </w:r>
      <w:r w:rsidRPr="005E12A7">
        <w:rPr>
          <w:rFonts w:eastAsia="Times New Roman" w:cstheme="minorHAnsi"/>
          <w:color w:val="1D252C"/>
        </w:rPr>
        <w:t>as topics change and move toward the audience when asking questions, making critical connections, or offering a revelation.</w:t>
      </w:r>
    </w:p>
    <w:p w14:paraId="71068D10" w14:textId="77777777" w:rsidR="00D7244C" w:rsidRPr="00D7244C" w:rsidRDefault="00D7244C" w:rsidP="00783EB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1D252C"/>
        </w:rPr>
      </w:pPr>
    </w:p>
    <w:p w14:paraId="575AA7DC" w14:textId="214AFE3D" w:rsidR="00A060AF" w:rsidRDefault="00783EBB" w:rsidP="00207D25">
      <w:pPr>
        <w:rPr>
          <w:b/>
          <w:bCs/>
        </w:rPr>
      </w:pPr>
      <w:r>
        <w:tab/>
      </w:r>
      <w:r w:rsidRPr="003C3E12">
        <w:rPr>
          <w:b/>
          <w:bCs/>
        </w:rPr>
        <w:t>3. Presenting M&amp;M</w:t>
      </w:r>
      <w:bookmarkStart w:id="0" w:name="OLE_LINK3"/>
      <w:bookmarkStart w:id="1" w:name="OLE_LINK4"/>
    </w:p>
    <w:p w14:paraId="0FBF9AEE" w14:textId="5BB6D295" w:rsidR="00D7553E" w:rsidRDefault="00D7553E" w:rsidP="002116E7">
      <w:pPr>
        <w:pStyle w:val="ListParagraph"/>
        <w:numPr>
          <w:ilvl w:val="0"/>
          <w:numId w:val="12"/>
        </w:numPr>
      </w:pPr>
      <w:r>
        <w:t>Choosing a case: consider cases with d</w:t>
      </w:r>
      <w:r w:rsidRPr="00D7553E">
        <w:t>iagnostic or management dilemmas and decision-mak</w:t>
      </w:r>
      <w:r>
        <w:t>i</w:t>
      </w:r>
      <w:r w:rsidRPr="00D7553E">
        <w:t xml:space="preserve">ng </w:t>
      </w:r>
      <w:r>
        <w:t>issues or consider a “theme” based conference</w:t>
      </w:r>
    </w:p>
    <w:p w14:paraId="73E4B4DA" w14:textId="72E3A359" w:rsidR="00D7553E" w:rsidRDefault="00D7553E" w:rsidP="002116E7">
      <w:pPr>
        <w:pStyle w:val="ListParagraph"/>
        <w:numPr>
          <w:ilvl w:val="1"/>
          <w:numId w:val="12"/>
        </w:numPr>
      </w:pPr>
      <w:r>
        <w:t xml:space="preserve">-Consider </w:t>
      </w:r>
      <w:r w:rsidR="006F2CBF">
        <w:t xml:space="preserve">inviting EM colleagues from other system hospitals or </w:t>
      </w:r>
      <w:r>
        <w:t>combined conference with another specialty</w:t>
      </w:r>
    </w:p>
    <w:p w14:paraId="2371A30E" w14:textId="0FB97E91" w:rsidR="00207D25" w:rsidRDefault="00207D25" w:rsidP="002116E7">
      <w:pPr>
        <w:pStyle w:val="ListParagraph"/>
        <w:numPr>
          <w:ilvl w:val="0"/>
          <w:numId w:val="12"/>
        </w:numPr>
      </w:pPr>
      <w:r>
        <w:t xml:space="preserve">Know the case, all the details, timeline, vital signs, labs, consultations, imaging, </w:t>
      </w:r>
      <w:proofErr w:type="spellStart"/>
      <w:r>
        <w:t>etc</w:t>
      </w:r>
      <w:proofErr w:type="spellEnd"/>
    </w:p>
    <w:p w14:paraId="6DE8F3E9" w14:textId="5A392B62" w:rsidR="00207D25" w:rsidRDefault="001D6CF6" w:rsidP="002116E7">
      <w:pPr>
        <w:pStyle w:val="ListParagraph"/>
        <w:numPr>
          <w:ilvl w:val="0"/>
          <w:numId w:val="12"/>
        </w:numPr>
      </w:pPr>
      <w:r>
        <w:t xml:space="preserve">Understand the issues – was there an error, if so, what type: misdiagnosis, missed information, missed differential, </w:t>
      </w:r>
      <w:proofErr w:type="spellStart"/>
      <w:r>
        <w:t>etc</w:t>
      </w:r>
      <w:proofErr w:type="spellEnd"/>
      <w:r>
        <w:t>; what is the teaching/learning point of the case; education about the missed condition – pearls for diagnosis/treatment in the ED</w:t>
      </w:r>
    </w:p>
    <w:p w14:paraId="1A212097" w14:textId="24C0D560" w:rsidR="00D7553E" w:rsidRDefault="00D7553E" w:rsidP="002116E7">
      <w:pPr>
        <w:pStyle w:val="ListParagraph"/>
        <w:numPr>
          <w:ilvl w:val="1"/>
          <w:numId w:val="12"/>
        </w:numPr>
      </w:pPr>
      <w:r>
        <w:t>Consider focusing on systems issues</w:t>
      </w:r>
    </w:p>
    <w:p w14:paraId="1C6DBAEB" w14:textId="16863CFC" w:rsidR="00D7553E" w:rsidRDefault="00D7553E" w:rsidP="002116E7">
      <w:pPr>
        <w:pStyle w:val="ListParagraph"/>
        <w:numPr>
          <w:ilvl w:val="2"/>
          <w:numId w:val="12"/>
        </w:numPr>
      </w:pPr>
      <w:r>
        <w:t>“</w:t>
      </w:r>
      <w:r w:rsidRPr="00D7553E">
        <w:t>useful to discuss the many unique aspects of our practice environment that predispose to medical mis- takes. These include multi-tasking, frequent interruptions during shifts,3 inadequate communication and continuity during shift change, varying availability of diagnostic studies, patient volume, and over-reliance on consultants for decision-making and disposition</w:t>
      </w:r>
      <w:r>
        <w:t>”</w:t>
      </w:r>
      <w:r w:rsidRPr="00D7553E">
        <w:t xml:space="preserve"> </w:t>
      </w:r>
    </w:p>
    <w:p w14:paraId="373630DE" w14:textId="5E423CF8" w:rsidR="001D6CF6" w:rsidRDefault="00482424" w:rsidP="002116E7">
      <w:pPr>
        <w:pStyle w:val="ListParagraph"/>
        <w:numPr>
          <w:ilvl w:val="0"/>
          <w:numId w:val="12"/>
        </w:numPr>
      </w:pPr>
      <w:r>
        <w:t>Avoid placing blame</w:t>
      </w:r>
      <w:r w:rsidR="00D7553E">
        <w:t xml:space="preserve"> (presenting anonymously can enhance teaching and avoid shame)</w:t>
      </w:r>
      <w:r w:rsidR="006F2CBF">
        <w:t>, can be helpful to get input from the clinicians involved while putting together the conference</w:t>
      </w:r>
    </w:p>
    <w:p w14:paraId="59E4EE56" w14:textId="2E29E54A" w:rsidR="006F2CBF" w:rsidRPr="008B4245" w:rsidRDefault="006F2CBF" w:rsidP="002116E7">
      <w:pPr>
        <w:pStyle w:val="ListParagraph"/>
        <w:numPr>
          <w:ilvl w:val="0"/>
          <w:numId w:val="12"/>
        </w:numPr>
        <w:rPr>
          <w:rFonts w:cstheme="minorHAnsi"/>
        </w:rPr>
      </w:pPr>
      <w:r w:rsidRPr="008B4245">
        <w:rPr>
          <w:rFonts w:cstheme="minorHAnsi"/>
        </w:rPr>
        <w:lastRenderedPageBreak/>
        <w:t>Ask questions of the audience to make them commit to a course of action (</w:t>
      </w:r>
      <w:r w:rsidR="002116E7" w:rsidRPr="008B4245">
        <w:rPr>
          <w:rFonts w:cstheme="minorHAnsi"/>
        </w:rPr>
        <w:t xml:space="preserve">ex. </w:t>
      </w:r>
      <w:r w:rsidRPr="008B4245">
        <w:rPr>
          <w:rFonts w:cstheme="minorHAnsi"/>
        </w:rPr>
        <w:t>who would intubate the patient now?)</w:t>
      </w:r>
    </w:p>
    <w:p w14:paraId="719FD903" w14:textId="184E10A4" w:rsidR="006F2CBF" w:rsidRPr="006F2CBF" w:rsidRDefault="006F2CBF" w:rsidP="002116E7">
      <w:pPr>
        <w:pStyle w:val="ListParagraph"/>
        <w:numPr>
          <w:ilvl w:val="0"/>
          <w:numId w:val="12"/>
        </w:numPr>
      </w:pPr>
      <w:r w:rsidRPr="008B4245">
        <w:rPr>
          <w:rFonts w:eastAsia="Times New Roman" w:cstheme="minorHAnsi"/>
        </w:rPr>
        <w:t xml:space="preserve">Brief and EM pertinent </w:t>
      </w:r>
      <w:r w:rsidRPr="008B4245">
        <w:rPr>
          <w:rFonts w:cstheme="minorHAnsi"/>
        </w:rPr>
        <w:t xml:space="preserve">teaching points, covering the epidemiology, </w:t>
      </w:r>
      <w:r w:rsidR="00AE3DF0" w:rsidRPr="008B4245">
        <w:rPr>
          <w:rFonts w:cstheme="minorHAnsi"/>
        </w:rPr>
        <w:t>differential diagnosis, treatment</w:t>
      </w:r>
      <w:r w:rsidR="00AE3DF0">
        <w:t>/management (review recent or “landmark” articles)</w:t>
      </w:r>
    </w:p>
    <w:p w14:paraId="7B4BD539" w14:textId="182885B2" w:rsidR="006F2CBF" w:rsidRDefault="006F2CBF" w:rsidP="00D7553E"/>
    <w:p w14:paraId="62EDD492" w14:textId="19EA319B" w:rsidR="00A060AF" w:rsidRPr="007F6910" w:rsidRDefault="007F6910" w:rsidP="00A060AF">
      <w:r>
        <w:t>S</w:t>
      </w:r>
    </w:p>
    <w:p w14:paraId="7DBF3706" w14:textId="2384DDA3" w:rsidR="005E12A7" w:rsidRDefault="005E12A7" w:rsidP="00A060AF">
      <w:pPr>
        <w:rPr>
          <w:rFonts w:ascii="Segoe UI" w:hAnsi="Segoe UI" w:cs="Segoe UI"/>
          <w:sz w:val="26"/>
          <w:szCs w:val="26"/>
          <w:shd w:val="clear" w:color="auto" w:fill="FFFFFF"/>
        </w:rPr>
      </w:pPr>
    </w:p>
    <w:p w14:paraId="3B37765B" w14:textId="6F4709E0" w:rsidR="00783EBB" w:rsidRDefault="00783EBB" w:rsidP="00A060AF">
      <w:pPr>
        <w:rPr>
          <w:rFonts w:ascii="Segoe UI" w:hAnsi="Segoe UI" w:cs="Segoe UI"/>
          <w:sz w:val="26"/>
          <w:szCs w:val="26"/>
          <w:shd w:val="clear" w:color="auto" w:fill="FFFFFF"/>
        </w:rPr>
      </w:pPr>
      <w:r>
        <w:rPr>
          <w:rFonts w:ascii="Segoe UI" w:hAnsi="Segoe UI" w:cs="Segoe UI"/>
          <w:sz w:val="26"/>
          <w:szCs w:val="26"/>
          <w:shd w:val="clear" w:color="auto" w:fill="FFFFFF"/>
        </w:rPr>
        <w:t>Resources:</w:t>
      </w:r>
    </w:p>
    <w:p w14:paraId="0F597060" w14:textId="40B24673" w:rsidR="00A060AF" w:rsidRDefault="006C6B19" w:rsidP="00A060AF">
      <w:hyperlink r:id="rId7" w:history="1">
        <w:r w:rsidR="00A060AF" w:rsidRPr="00AA750A">
          <w:rPr>
            <w:rStyle w:val="Hyperlink"/>
          </w:rPr>
          <w:t>https://litfl.com/how-to-give-a-ripper-talk/</w:t>
        </w:r>
      </w:hyperlink>
    </w:p>
    <w:p w14:paraId="0D06A0DB" w14:textId="0B444E4F" w:rsidR="00A060AF" w:rsidRDefault="00A060AF" w:rsidP="00A060AF">
      <w:r w:rsidRPr="00A060AF">
        <w:t>https://litfl.com/how-to-give-an-unforgettable-talk/</w:t>
      </w:r>
      <w:r w:rsidR="006C137A">
        <w:tab/>
      </w:r>
    </w:p>
    <w:p w14:paraId="10E24546" w14:textId="2BC8A346" w:rsidR="00FB60F9" w:rsidRDefault="006C6B19" w:rsidP="00A060AF">
      <w:hyperlink r:id="rId8" w:history="1">
        <w:r w:rsidR="006C137A" w:rsidRPr="00AA750A">
          <w:rPr>
            <w:rStyle w:val="Hyperlink"/>
          </w:rPr>
          <w:t>https://emergencymedicinecases.com/presentation-skills/</w:t>
        </w:r>
      </w:hyperlink>
      <w:r w:rsidR="00FB60F9">
        <w:t xml:space="preserve"> (</w:t>
      </w:r>
      <w:proofErr w:type="spellStart"/>
      <w:r w:rsidR="00FB60F9" w:rsidRPr="00FB60F9">
        <w:rPr>
          <w:i/>
          <w:iCs/>
        </w:rPr>
        <w:t>Letovsky</w:t>
      </w:r>
      <w:proofErr w:type="spellEnd"/>
      <w:r w:rsidR="00FB60F9" w:rsidRPr="00FB60F9">
        <w:rPr>
          <w:i/>
          <w:iCs/>
        </w:rPr>
        <w:t xml:space="preserve">, E, </w:t>
      </w:r>
      <w:proofErr w:type="spellStart"/>
      <w:r w:rsidR="00FB60F9" w:rsidRPr="00FB60F9">
        <w:rPr>
          <w:i/>
          <w:iCs/>
        </w:rPr>
        <w:t>Penciner</w:t>
      </w:r>
      <w:proofErr w:type="spellEnd"/>
      <w:r w:rsidR="00FB60F9" w:rsidRPr="00FB60F9">
        <w:rPr>
          <w:i/>
          <w:iCs/>
        </w:rPr>
        <w:t xml:space="preserve">, R, Helman, A. Presentation Skills. Emergency Medicine Cases. </w:t>
      </w:r>
      <w:proofErr w:type="gramStart"/>
      <w:r w:rsidR="00FB60F9" w:rsidRPr="00FB60F9">
        <w:rPr>
          <w:i/>
          <w:iCs/>
        </w:rPr>
        <w:t>April,</w:t>
      </w:r>
      <w:proofErr w:type="gramEnd"/>
      <w:r w:rsidR="00FB60F9">
        <w:rPr>
          <w:i/>
          <w:iCs/>
        </w:rPr>
        <w:t xml:space="preserve"> 2016. </w:t>
      </w:r>
      <w:r w:rsidR="00FB60F9" w:rsidRPr="00FB60F9">
        <w:rPr>
          <w:i/>
          <w:iCs/>
        </w:rPr>
        <w:t>https://emergencymedicinecases.com/presentation-skills/. Accessed [</w:t>
      </w:r>
      <w:r w:rsidR="00FB60F9">
        <w:rPr>
          <w:i/>
          <w:iCs/>
        </w:rPr>
        <w:t>2/19/21</w:t>
      </w:r>
      <w:r w:rsidR="00FB60F9" w:rsidRPr="00FB60F9">
        <w:rPr>
          <w:i/>
          <w:iCs/>
        </w:rPr>
        <w:t>].</w:t>
      </w:r>
      <w:r w:rsidR="00FB60F9">
        <w:rPr>
          <w:i/>
          <w:iCs/>
        </w:rPr>
        <w:t>)</w:t>
      </w:r>
    </w:p>
    <w:p w14:paraId="2CE4B3F1" w14:textId="253B67A4" w:rsidR="006C137A" w:rsidRDefault="006C6B19" w:rsidP="00A060AF">
      <w:hyperlink r:id="rId9" w:history="1">
        <w:r w:rsidR="006C137A" w:rsidRPr="00AA750A">
          <w:rPr>
            <w:rStyle w:val="Hyperlink"/>
          </w:rPr>
          <w:t>http://ffolliet.com</w:t>
        </w:r>
      </w:hyperlink>
      <w:r w:rsidR="006C137A">
        <w:tab/>
      </w:r>
    </w:p>
    <w:p w14:paraId="7303D617" w14:textId="767690E3" w:rsidR="006C137A" w:rsidRDefault="006C6B19" w:rsidP="00A060AF">
      <w:hyperlink r:id="rId10" w:history="1">
        <w:r w:rsidR="00DB53DC" w:rsidRPr="00AA750A">
          <w:rPr>
            <w:rStyle w:val="Hyperlink"/>
          </w:rPr>
          <w:t>http://www.rickpenciner.com/presentations/</w:t>
        </w:r>
      </w:hyperlink>
    </w:p>
    <w:p w14:paraId="3304EC73" w14:textId="4421061B" w:rsidR="00DB53DC" w:rsidRDefault="006C6B19" w:rsidP="00A060AF">
      <w:hyperlink r:id="rId11" w:history="1">
        <w:r w:rsidR="00783EBB" w:rsidRPr="00AA750A">
          <w:rPr>
            <w:rStyle w:val="Hyperlink"/>
          </w:rPr>
          <w:t>http://snarketing2dot0.com/2007/05/10/how-to-give-a-great-presentation-in-nine-words/</w:t>
        </w:r>
      </w:hyperlink>
    </w:p>
    <w:p w14:paraId="67553397" w14:textId="02B6C260" w:rsidR="00A060AF" w:rsidRDefault="006C6B19" w:rsidP="00783EBB">
      <w:hyperlink r:id="rId12" w:history="1">
        <w:r w:rsidR="00767E4F" w:rsidRPr="00AA750A">
          <w:rPr>
            <w:rStyle w:val="Hyperlink"/>
          </w:rPr>
          <w:t>https://www.toastmasters.org/resources/public-speaking-tips</w:t>
        </w:r>
      </w:hyperlink>
    </w:p>
    <w:p w14:paraId="5BD4B88B" w14:textId="2804E5B1" w:rsidR="00767E4F" w:rsidRDefault="006C6B19" w:rsidP="00783EBB">
      <w:pPr>
        <w:rPr>
          <w:rStyle w:val="Hyperlink"/>
        </w:rPr>
      </w:pPr>
      <w:hyperlink r:id="rId13" w:history="1">
        <w:r w:rsidR="00207D25" w:rsidRPr="00AA750A">
          <w:rPr>
            <w:rStyle w:val="Hyperlink"/>
          </w:rPr>
          <w:t>http://pediatricsectionwp.acep.org/?p=765</w:t>
        </w:r>
      </w:hyperlink>
      <w:bookmarkEnd w:id="0"/>
      <w:bookmarkEnd w:id="1"/>
    </w:p>
    <w:p w14:paraId="5EEC6CA6" w14:textId="2F503BCF" w:rsidR="00157AA0" w:rsidRDefault="00157AA0" w:rsidP="00783EBB">
      <w:r w:rsidRPr="00157AA0">
        <w:t>http://www.freeemergencytalks.net/2010/06/joe-lex-how-to-give-a-damn-good-talk-slides-and-sound/</w:t>
      </w:r>
    </w:p>
    <w:p w14:paraId="00E909C1" w14:textId="62775C9B" w:rsidR="00207D25" w:rsidRPr="00783EBB" w:rsidRDefault="00207D25" w:rsidP="00783EBB">
      <w:r w:rsidRPr="00207D25">
        <w:t>https://www.saem.org/docs/default-source/saem-documents/residents/preparing-a-morbidity-and-mortality-conference.pdf?sfvrsn=a4070b2b_4</w:t>
      </w:r>
    </w:p>
    <w:sectPr w:rsidR="00207D25" w:rsidRPr="00783EBB" w:rsidSect="00CD6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5365C" w14:textId="77777777" w:rsidR="006C6B19" w:rsidRDefault="006C6B19" w:rsidP="007F6910">
      <w:r>
        <w:separator/>
      </w:r>
    </w:p>
  </w:endnote>
  <w:endnote w:type="continuationSeparator" w:id="0">
    <w:p w14:paraId="1B5286A2" w14:textId="77777777" w:rsidR="006C6B19" w:rsidRDefault="006C6B19" w:rsidP="007F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602D0" w14:textId="77777777" w:rsidR="006C6B19" w:rsidRDefault="006C6B19" w:rsidP="007F6910">
      <w:r>
        <w:separator/>
      </w:r>
    </w:p>
  </w:footnote>
  <w:footnote w:type="continuationSeparator" w:id="0">
    <w:p w14:paraId="79EA2077" w14:textId="77777777" w:rsidR="006C6B19" w:rsidRDefault="006C6B19" w:rsidP="007F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C3B88"/>
    <w:multiLevelType w:val="multilevel"/>
    <w:tmpl w:val="06D8EB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CD85E04"/>
    <w:multiLevelType w:val="hybridMultilevel"/>
    <w:tmpl w:val="78EEAD66"/>
    <w:lvl w:ilvl="0" w:tplc="E3A250AE">
      <w:start w:val="1"/>
      <w:numFmt w:val="decimal"/>
      <w:lvlText w:val="%1."/>
      <w:lvlJc w:val="left"/>
      <w:pPr>
        <w:ind w:left="25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9931C5"/>
    <w:multiLevelType w:val="multilevel"/>
    <w:tmpl w:val="12C08EB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A5067"/>
    <w:multiLevelType w:val="multilevel"/>
    <w:tmpl w:val="85ACB5C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D7760"/>
    <w:multiLevelType w:val="hybridMultilevel"/>
    <w:tmpl w:val="EB12C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016E"/>
    <w:multiLevelType w:val="hybridMultilevel"/>
    <w:tmpl w:val="8632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E61C3"/>
    <w:multiLevelType w:val="multilevel"/>
    <w:tmpl w:val="5CC45BB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F1726"/>
    <w:multiLevelType w:val="multilevel"/>
    <w:tmpl w:val="7906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EE4E35"/>
    <w:multiLevelType w:val="hybridMultilevel"/>
    <w:tmpl w:val="A356B56E"/>
    <w:lvl w:ilvl="0" w:tplc="38383D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0DA5C49"/>
    <w:multiLevelType w:val="multilevel"/>
    <w:tmpl w:val="3FA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0712A"/>
    <w:multiLevelType w:val="multilevel"/>
    <w:tmpl w:val="6120A6F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763EF"/>
    <w:multiLevelType w:val="hybridMultilevel"/>
    <w:tmpl w:val="6DBA1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74A684C4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AF"/>
    <w:rsid w:val="00070FD9"/>
    <w:rsid w:val="00157AA0"/>
    <w:rsid w:val="001D6CF6"/>
    <w:rsid w:val="00207D25"/>
    <w:rsid w:val="002116E7"/>
    <w:rsid w:val="00223A53"/>
    <w:rsid w:val="003C3E12"/>
    <w:rsid w:val="00482424"/>
    <w:rsid w:val="005602DF"/>
    <w:rsid w:val="005E12A7"/>
    <w:rsid w:val="006427B4"/>
    <w:rsid w:val="006C137A"/>
    <w:rsid w:val="006C6B19"/>
    <w:rsid w:val="006F2CBF"/>
    <w:rsid w:val="00767E4F"/>
    <w:rsid w:val="00783EBB"/>
    <w:rsid w:val="007A6DB5"/>
    <w:rsid w:val="007F6910"/>
    <w:rsid w:val="008B4245"/>
    <w:rsid w:val="00972503"/>
    <w:rsid w:val="00A060AF"/>
    <w:rsid w:val="00AE3DF0"/>
    <w:rsid w:val="00BD675B"/>
    <w:rsid w:val="00C469C9"/>
    <w:rsid w:val="00CD6BDE"/>
    <w:rsid w:val="00D7244C"/>
    <w:rsid w:val="00D7553E"/>
    <w:rsid w:val="00DA5BF4"/>
    <w:rsid w:val="00DB53DC"/>
    <w:rsid w:val="00EA6723"/>
    <w:rsid w:val="00EF5EAD"/>
    <w:rsid w:val="00FB340C"/>
    <w:rsid w:val="00FB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A8AA7"/>
  <w15:chartTrackingRefBased/>
  <w15:docId w15:val="{0671E5FB-E238-1346-98EB-A01632F7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0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13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53DC"/>
    <w:rPr>
      <w:b/>
      <w:bCs/>
    </w:rPr>
  </w:style>
  <w:style w:type="character" w:customStyle="1" w:styleId="apple-converted-space">
    <w:name w:val="apple-converted-space"/>
    <w:basedOn w:val="DefaultParagraphFont"/>
    <w:rsid w:val="005E12A7"/>
  </w:style>
  <w:style w:type="character" w:styleId="Emphasis">
    <w:name w:val="Emphasis"/>
    <w:basedOn w:val="DefaultParagraphFont"/>
    <w:uiPriority w:val="20"/>
    <w:qFormat/>
    <w:rsid w:val="005E12A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F69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10"/>
  </w:style>
  <w:style w:type="paragraph" w:styleId="Footer">
    <w:name w:val="footer"/>
    <w:basedOn w:val="Normal"/>
    <w:link w:val="FooterChar"/>
    <w:uiPriority w:val="99"/>
    <w:unhideWhenUsed/>
    <w:rsid w:val="007F6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0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32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gencymedicinecases.com/presentation-skills/" TargetMode="External"/><Relationship Id="rId13" Type="http://schemas.openxmlformats.org/officeDocument/2006/relationships/hyperlink" Target="http://pediatricsectionwp.acep.org/?p=7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tfl.com/how-to-give-a-ripper-talk/" TargetMode="External"/><Relationship Id="rId12" Type="http://schemas.openxmlformats.org/officeDocument/2006/relationships/hyperlink" Target="https://www.toastmasters.org/resources/public-speaking-t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narketing2dot0.com/2007/05/10/how-to-give-a-great-presentation-in-nine-word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ickpenciner.com/present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follie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Lotterman</dc:creator>
  <cp:keywords/>
  <dc:description/>
  <cp:lastModifiedBy>Seth Lotterman</cp:lastModifiedBy>
  <cp:revision>14</cp:revision>
  <dcterms:created xsi:type="dcterms:W3CDTF">2021-02-18T02:58:00Z</dcterms:created>
  <dcterms:modified xsi:type="dcterms:W3CDTF">2021-02-20T14:33:00Z</dcterms:modified>
</cp:coreProperties>
</file>