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ARTHROCENTESIS AND SYNOVIAL FLUID ANALYSIS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IN THE EMERGENCY DEPARTMENT SUMMARY HANDOUT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Indications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Suspicion of septic arthritis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Suspicion of crystal induced arthritis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Unexplained arthritis with synovial effusion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Relative: therapeutic (decrease intra-articular pressure, injection of anesthetics/steroids)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Contraindications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absolute contraindications for diagnostic arthrocentesis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not inject steroids into a joint that you suspect is already infected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Relative Contraindications: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Overlying cellulitis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Coagulopathy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Joint prosthesis (refer to ortho)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Patient education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 risks of iatrogenic septic joint and damage to neurovascular structures. With therapeutic steroid injections discuss risks of flushing, post-injection flare, and hypopigmentation.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Procedure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 and </w:t>
      </w:r>
      <w:r w:rsidDel="00000000" w:rsidR="00000000" w:rsidRPr="00000000">
        <w:rPr>
          <w:rtl w:val="0"/>
        </w:rPr>
        <w:t xml:space="preserve">drape the area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sterile fashion. Use lidocaine for local anesthesia. An 18ga needle is used for larger joints.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 familiar with common approaches for different joints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Knee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Ankle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Shoulder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Wrist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Hand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Elbow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Ultrasound can be used to assist in identification of joint effusion and arthrocentesis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Pathological conditions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Noninflammatory: osteoarthritis, trauma, avascular necrosis, Charcot’s arthropathy, hemochromatosis, pigmented villonodular synovitis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Inflammatory: septic arthritis, crystal-induced arthritis, rheumatoid arthritis, juvenile idiopathic arthritis, spondyloarthritis, systemic lupus erythematosus, lyme disease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Synovial fluid analysis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Note clarity, color and viscosity. Send synovial fluid for cell count with differential, gram stain, culture, and crystal analysis. See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Table 1.</w:t>
      </w:r>
      <w:r w:rsidDel="00000000" w:rsidR="00000000" w:rsidRPr="00000000">
        <w:rPr>
          <w:rtl w:val="0"/>
        </w:rPr>
      </w:r>
    </w:p>
    <w:tbl>
      <w:tblPr>
        <w:tblStyle w:val="Table1"/>
        <w:tblW w:w="8329.0" w:type="dxa"/>
        <w:jc w:val="center"/>
        <w:tblBorders>
          <w:top w:color="aaaaaa" w:space="0" w:sz="6" w:val="single"/>
          <w:left w:color="aaaaaa" w:space="0" w:sz="6" w:val="single"/>
          <w:bottom w:color="aaaaaa" w:space="0" w:sz="6" w:val="single"/>
          <w:right w:color="aaaaaa" w:space="0" w:sz="6" w:val="single"/>
        </w:tblBorders>
        <w:tblLayout w:type="fixed"/>
        <w:tblLook w:val="0400"/>
      </w:tblPr>
      <w:tblGrid>
        <w:gridCol w:w="1092"/>
        <w:gridCol w:w="1326"/>
        <w:gridCol w:w="1822"/>
        <w:gridCol w:w="1695"/>
        <w:gridCol w:w="2394"/>
        <w:tblGridChange w:id="0">
          <w:tblGrid>
            <w:gridCol w:w="1092"/>
            <w:gridCol w:w="1326"/>
            <w:gridCol w:w="1822"/>
            <w:gridCol w:w="1695"/>
            <w:gridCol w:w="2394"/>
          </w:tblGrid>
        </w:tblGridChange>
      </w:tblGrid>
      <w:tr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Synovium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Noninflammatory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Inflammatory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Septic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Clarity</w:t>
            </w:r>
          </w:p>
        </w:tc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Transparent</w:t>
            </w:r>
          </w:p>
        </w:tc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Transparent</w:t>
            </w:r>
          </w:p>
        </w:tc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Cloudy</w:t>
            </w:r>
          </w:p>
        </w:tc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Cloudy</w:t>
            </w:r>
          </w:p>
        </w:tc>
      </w:tr>
      <w:tr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Color</w:t>
            </w:r>
          </w:p>
        </w:tc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Clear</w:t>
            </w:r>
          </w:p>
        </w:tc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Yellow</w:t>
            </w:r>
          </w:p>
        </w:tc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Yellow</w:t>
            </w:r>
          </w:p>
        </w:tc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Yellow</w:t>
            </w:r>
          </w:p>
        </w:tc>
      </w:tr>
      <w:tr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WBC</w:t>
            </w:r>
          </w:p>
        </w:tc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&lt;200</w:t>
            </w:r>
          </w:p>
        </w:tc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&lt;200-2000</w:t>
            </w:r>
          </w:p>
        </w:tc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200-50,000</w:t>
            </w:r>
          </w:p>
        </w:tc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&gt;</w:t>
            </w:r>
            <w:r w:rsidDel="00000000" w:rsidR="00000000" w:rsidRPr="00000000">
              <w:rPr>
                <w:b w:val="1"/>
                <w:rtl w:val="0"/>
              </w:rPr>
              <w:t xml:space="preserve">1,100 (prosthetic joint)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&gt;25,000; LR=2.9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&gt;50,000; LR=7.7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&gt;100,000; LR=28</w:t>
            </w:r>
          </w:p>
        </w:tc>
      </w:tr>
      <w:tr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PMN</w:t>
            </w:r>
          </w:p>
        </w:tc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&lt;25%</w:t>
            </w:r>
          </w:p>
        </w:tc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&lt;25%</w:t>
            </w:r>
          </w:p>
        </w:tc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&gt;50%</w:t>
            </w:r>
          </w:p>
        </w:tc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&gt;64% (prosthetic joint)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&gt;90%</w:t>
            </w:r>
          </w:p>
        </w:tc>
      </w:tr>
      <w:tr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Culture</w:t>
            </w:r>
          </w:p>
        </w:tc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Neg</w:t>
            </w:r>
          </w:p>
        </w:tc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Neg</w:t>
            </w:r>
          </w:p>
        </w:tc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Neg</w:t>
            </w:r>
          </w:p>
        </w:tc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&gt;50% positive</w:t>
            </w:r>
          </w:p>
        </w:tc>
      </w:tr>
      <w:tr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Lactate</w:t>
            </w:r>
          </w:p>
        </w:tc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&lt;5.6 mmol/L</w:t>
            </w:r>
          </w:p>
        </w:tc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&lt;5.6 mmol/L</w:t>
            </w:r>
          </w:p>
        </w:tc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&lt;5.6 mmol/L</w:t>
            </w:r>
          </w:p>
        </w:tc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&gt;5.6 mmol/L</w:t>
            </w:r>
          </w:p>
        </w:tc>
      </w:tr>
      <w:tr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LDH</w:t>
            </w:r>
          </w:p>
        </w:tc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&lt;250</w:t>
            </w:r>
          </w:p>
        </w:tc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&lt;250</w:t>
            </w:r>
          </w:p>
        </w:tc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&lt;250</w:t>
            </w:r>
          </w:p>
        </w:tc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&gt;250</w:t>
            </w:r>
          </w:p>
        </w:tc>
      </w:tr>
      <w:tr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Crystals</w:t>
            </w:r>
          </w:p>
        </w:tc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None</w:t>
            </w:r>
          </w:p>
        </w:tc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None</w:t>
            </w:r>
          </w:p>
        </w:tc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Multiple or none</w:t>
            </w:r>
          </w:p>
        </w:tc>
        <w:tc>
          <w:tcPr>
            <w:tcBorders>
              <w:top w:color="a2a9b1" w:space="0" w:sz="6" w:val="single"/>
              <w:left w:color="a2a9b1" w:space="0" w:sz="6" w:val="single"/>
              <w:bottom w:color="a2a9b1" w:space="0" w:sz="6" w:val="single"/>
              <w:right w:color="a2a9b1" w:space="0" w:sz="6" w:val="single"/>
            </w:tcBorders>
            <w:shd w:fill="f9f9f9" w:val="clear"/>
            <w:tcMar>
              <w:top w:w="48.0" w:type="dxa"/>
              <w:left w:w="96.0" w:type="dxa"/>
              <w:bottom w:w="48.0" w:type="dxa"/>
              <w:right w:w="96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None</w:t>
            </w:r>
          </w:p>
        </w:tc>
      </w:tr>
    </w:tbl>
    <w:p w:rsidR="00000000" w:rsidDel="00000000" w:rsidP="00000000" w:rsidRDefault="00000000" w:rsidRPr="00000000" w14:paraId="00000054">
      <w:pPr>
        <w:jc w:val="center"/>
        <w:rPr/>
      </w:pPr>
      <w:r w:rsidDel="00000000" w:rsidR="00000000" w:rsidRPr="00000000">
        <w:rPr>
          <w:b w:val="1"/>
          <w:rtl w:val="0"/>
        </w:rPr>
        <w:t xml:space="preserve">Table 1.</w:t>
      </w:r>
      <w:r w:rsidDel="00000000" w:rsidR="00000000" w:rsidRPr="00000000">
        <w:rPr>
          <w:rtl w:val="0"/>
        </w:rPr>
        <w:t xml:space="preserve"> Synovial fluid analysis for the listed pathologies. LR = likelihood ratio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74AD1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F13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F13F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6J3iEZ5+xYNnGkIYIOkghBtEaQ==">AMUW2mWw2tqeOO+vv/DXOLanQG2/HsB0hJFU+kB9bc0j3nCIDxRudq42CVv5Hc5BVh1IFG4zNm/bByayYnPEwIGrvBPKpjyKh5t2U8X4GesjDN4pf01TvjsnnPWPXRXjEhOqOKUtmDzk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2021-03-06T20:44:00Z</dcterms:created>
  <dc:creator>Guyer, Christopher</dc:creator>
</cp:coreProperties>
</file>